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F53" w:rsidRDefault="00757E6D">
      <w:pPr>
        <w:spacing w:after="0" w:line="259" w:lineRule="auto"/>
        <w:ind w:left="30" w:right="0" w:firstLine="0"/>
        <w:jc w:val="center"/>
      </w:pPr>
      <w:bookmarkStart w:id="0" w:name="_GoBack"/>
      <w:r>
        <w:rPr>
          <w:rFonts w:ascii="Cambria" w:eastAsia="Cambria" w:hAnsi="Cambria" w:cs="Cambria"/>
          <w:b/>
          <w:sz w:val="36"/>
        </w:rPr>
        <w:t>The Centrality of Protection in Humanitarian Action</w:t>
      </w:r>
    </w:p>
    <w:bookmarkEnd w:id="0"/>
    <w:p w:rsidR="00937F53" w:rsidRDefault="00757E6D">
      <w:pPr>
        <w:spacing w:after="77" w:line="259" w:lineRule="auto"/>
        <w:ind w:left="74" w:right="0" w:firstLine="0"/>
        <w:jc w:val="center"/>
      </w:pPr>
      <w:r>
        <w:rPr>
          <w:rFonts w:ascii="Cambria" w:eastAsia="Cambria" w:hAnsi="Cambria" w:cs="Cambria"/>
          <w:b/>
          <w:sz w:val="28"/>
        </w:rPr>
        <w:t>Statement by the Inter Agency Standing Committee (IASC) Principals</w:t>
      </w:r>
    </w:p>
    <w:p w:rsidR="00937F53" w:rsidRDefault="00757E6D">
      <w:pPr>
        <w:spacing w:after="23" w:line="259" w:lineRule="auto"/>
        <w:ind w:left="0" w:right="51" w:firstLine="0"/>
        <w:jc w:val="center"/>
      </w:pPr>
      <w:r>
        <w:rPr>
          <w:i/>
          <w:sz w:val="22"/>
        </w:rPr>
        <w:t xml:space="preserve">Endorsed by the IASC Principals on 17 December 2013 </w:t>
      </w:r>
    </w:p>
    <w:p w:rsidR="00937F53" w:rsidRDefault="00757E6D">
      <w:pPr>
        <w:spacing w:after="18" w:line="259" w:lineRule="auto"/>
        <w:ind w:left="-36" w:right="0" w:firstLine="0"/>
        <w:jc w:val="left"/>
      </w:pPr>
      <w:r>
        <w:rPr>
          <w:rFonts w:ascii="Calibri" w:eastAsia="Calibri" w:hAnsi="Calibri" w:cs="Calibri"/>
          <w:noProof/>
          <w:sz w:val="22"/>
        </w:rPr>
        <mc:AlternateContent>
          <mc:Choice Requires="wpg">
            <w:drawing>
              <wp:inline distT="0" distB="0" distL="0" distR="0">
                <wp:extent cx="5791200" cy="1"/>
                <wp:effectExtent l="0" t="0" r="0" b="0"/>
                <wp:docPr id="1014" name="Group 1014"/>
                <wp:cNvGraphicFramePr/>
                <a:graphic xmlns:a="http://schemas.openxmlformats.org/drawingml/2006/main">
                  <a:graphicData uri="http://schemas.microsoft.com/office/word/2010/wordprocessingGroup">
                    <wpg:wgp>
                      <wpg:cNvGrpSpPr/>
                      <wpg:grpSpPr>
                        <a:xfrm>
                          <a:off x="0" y="0"/>
                          <a:ext cx="5791200" cy="1"/>
                          <a:chOff x="0" y="0"/>
                          <a:chExt cx="5791200" cy="1"/>
                        </a:xfrm>
                      </wpg:grpSpPr>
                      <wps:wsp>
                        <wps:cNvPr id="106" name="Shape 106"/>
                        <wps:cNvSpPr/>
                        <wps:spPr>
                          <a:xfrm>
                            <a:off x="0" y="0"/>
                            <a:ext cx="5791200" cy="1"/>
                          </a:xfrm>
                          <a:custGeom>
                            <a:avLst/>
                            <a:gdLst/>
                            <a:ahLst/>
                            <a:cxnLst/>
                            <a:rect l="0" t="0" r="0" b="0"/>
                            <a:pathLst>
                              <a:path w="5791200" h="1">
                                <a:moveTo>
                                  <a:pt x="0" y="0"/>
                                </a:moveTo>
                                <a:lnTo>
                                  <a:pt x="5791200" y="1"/>
                                </a:lnTo>
                              </a:path>
                            </a:pathLst>
                          </a:custGeom>
                          <a:ln w="12700" cap="flat">
                            <a:round/>
                          </a:ln>
                        </wps:spPr>
                        <wps:style>
                          <a:lnRef idx="1">
                            <a:srgbClr val="5A91C7"/>
                          </a:lnRef>
                          <a:fillRef idx="0">
                            <a:srgbClr val="000000">
                              <a:alpha val="0"/>
                            </a:srgbClr>
                          </a:fillRef>
                          <a:effectRef idx="0">
                            <a:scrgbClr r="0" g="0" b="0"/>
                          </a:effectRef>
                          <a:fontRef idx="none"/>
                        </wps:style>
                        <wps:bodyPr/>
                      </wps:wsp>
                    </wpg:wgp>
                  </a:graphicData>
                </a:graphic>
              </wp:inline>
            </w:drawing>
          </mc:Choice>
          <mc:Fallback>
            <w:pict>
              <v:group w14:anchorId="7F51ED18" id="Group 1014" o:spid="_x0000_s1026" style="width:456pt;height:0;mso-position-horizontal-relative:char;mso-position-vertical-relative:line" coordsize="57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">
                <v:shape id="Shape 106" o:spid="_x0000_s1027" style="position:absolute;width:57912;height:0;visibility:visible;mso-wrap-style:square;v-text-anchor:top" coordsize="5791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PSRcMA&#10;AADcAAAADwAAAGRycy9kb3ducmV2LnhtbERPPWvDMBDdC/kP4gpZSi03Bac4UUISMHjoUrcZvB3W&#10;xTK1TsZSE/vfR4VCt3u8z9vuJ9uLK42+c6zgJUlBEDdOd9wq+Posnt9A+ICssXdMCmbysN8tHraY&#10;a3fjD7pWoRUxhH2OCkwIQy6lbwxZ9IkbiCN3caPFEOHYSj3iLYbbXq7SNJMWO44NBgc6GWq+qx+r&#10;4FCX5/fKyPlpbXl+LerjUNpJqeXjdNiACDSFf/Gfu9RxfprB7zPxAr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PSRcMAAADcAAAADwAAAAAAAAAAAAAAAACYAgAAZHJzL2Rv&#10;d25yZXYueG1sUEsFBgAAAAAEAAQA9QAAAIgDAAAAAA==&#10;" path="m,l5791200,1e" filled="f" strokecolor="#5a91c7" strokeweight="1pt">
                  <v:path arrowok="t" textboxrect="0,0,5791200,1"/>
                </v:shape>
                <w10:anchorlock/>
              </v:group>
            </w:pict>
          </mc:Fallback>
        </mc:AlternateContent>
      </w:r>
      <w:r>
        <w:rPr>
          <w:sz w:val="22"/>
        </w:rPr>
        <w:t xml:space="preserve"> </w:t>
      </w:r>
    </w:p>
    <w:p w:rsidR="00937F53" w:rsidRDefault="00757E6D">
      <w:pPr>
        <w:spacing w:after="23" w:line="259" w:lineRule="auto"/>
        <w:ind w:left="0" w:right="0" w:firstLine="0"/>
        <w:jc w:val="left"/>
      </w:pPr>
      <w:r>
        <w:rPr>
          <w:sz w:val="22"/>
        </w:rPr>
        <w:t xml:space="preserve"> </w:t>
      </w:r>
    </w:p>
    <w:p w:rsidR="00937F53" w:rsidRDefault="00757E6D">
      <w:pPr>
        <w:spacing w:line="278" w:lineRule="auto"/>
        <w:ind w:left="0" w:right="50" w:firstLine="0"/>
      </w:pPr>
      <w:r>
        <w:rPr>
          <w:i/>
          <w:sz w:val="22"/>
        </w:rPr>
        <w:t>This statement affirms the commitment of the IASC Principals to ensuring the centrality of protection in humanitarian action and the role of Humanitarian Coordinators, Humanitarian Country Teams and Clusters to implement this commitment in all aspects of h</w:t>
      </w:r>
      <w:r>
        <w:rPr>
          <w:i/>
          <w:sz w:val="22"/>
        </w:rPr>
        <w:t xml:space="preserve">umanitarian action. It is part of a number of measures that will be adopted by IASC to ensure more effective protection of people in humanitarian crises. </w:t>
      </w:r>
    </w:p>
    <w:p w:rsidR="00937F53" w:rsidRDefault="00757E6D">
      <w:pPr>
        <w:spacing w:after="37" w:line="259" w:lineRule="auto"/>
        <w:ind w:left="0" w:right="0" w:firstLine="0"/>
        <w:jc w:val="left"/>
      </w:pPr>
      <w:r>
        <w:rPr>
          <w:sz w:val="22"/>
        </w:rPr>
        <w:t xml:space="preserve"> </w:t>
      </w:r>
    </w:p>
    <w:p w:rsidR="00937F53" w:rsidRDefault="00757E6D">
      <w:pPr>
        <w:ind w:left="-5" w:right="36"/>
      </w:pPr>
      <w:r>
        <w:t xml:space="preserve">When natural disasters strike, or violence and conflict erupt, people are often subject to threats </w:t>
      </w:r>
      <w:r>
        <w:t>to their lives, safety and security, discrimination, loss of access to basic services and other risks. Violations of international human rights and humanitarian law, and pre-existing threats and vulnerabilities, may be amongst the principal causes and cons</w:t>
      </w:r>
      <w:r>
        <w:t xml:space="preserve">equences of humanitarian crises.   </w:t>
      </w:r>
    </w:p>
    <w:p w:rsidR="00937F53" w:rsidRDefault="00757E6D">
      <w:pPr>
        <w:spacing w:after="25" w:line="259" w:lineRule="auto"/>
        <w:ind w:left="0" w:right="0" w:firstLine="0"/>
        <w:jc w:val="left"/>
      </w:pPr>
      <w:r>
        <w:t xml:space="preserve"> </w:t>
      </w:r>
    </w:p>
    <w:p w:rsidR="00937F53" w:rsidRDefault="00757E6D">
      <w:pPr>
        <w:ind w:left="-5" w:right="36"/>
      </w:pPr>
      <w:r>
        <w:t>People look to their national and local authorities, the United Nations and the broader humanitarian community to support and strengthen their protection: to save their lives, ensure their safety and security, alleviate their suffering and restore their di</w:t>
      </w:r>
      <w:r>
        <w:t xml:space="preserve">gnity – in accordance with international human rights law and international humanitarian law as well as internationally recognized protection standards, such as the UN Guiding Principles on Internal Displacement. </w:t>
      </w:r>
    </w:p>
    <w:p w:rsidR="00937F53" w:rsidRDefault="00757E6D">
      <w:pPr>
        <w:spacing w:after="25" w:line="259" w:lineRule="auto"/>
        <w:ind w:left="0" w:right="0" w:firstLine="0"/>
        <w:jc w:val="left"/>
      </w:pPr>
      <w:r>
        <w:t xml:space="preserve"> </w:t>
      </w:r>
    </w:p>
    <w:p w:rsidR="00937F53" w:rsidRDefault="00757E6D">
      <w:pPr>
        <w:ind w:left="-5" w:right="36"/>
      </w:pPr>
      <w:r>
        <w:t>The primary responsibility to protect pe</w:t>
      </w:r>
      <w:r>
        <w:t>ople in such situations lies with States. In addition, in situations of armed conflict, non-State parties to conflict are obliged to protect persons affected and at risk in accordance with international humanitarian law. The humanitarian community has an e</w:t>
      </w:r>
      <w:r>
        <w:t xml:space="preserve">ssential role to engage with these actors to protect and assist people in need. </w:t>
      </w:r>
    </w:p>
    <w:p w:rsidR="00937F53" w:rsidRDefault="00757E6D">
      <w:pPr>
        <w:spacing w:after="25" w:line="259" w:lineRule="auto"/>
        <w:ind w:left="0" w:right="0" w:firstLine="0"/>
        <w:jc w:val="left"/>
      </w:pPr>
      <w:r>
        <w:t xml:space="preserve"> </w:t>
      </w:r>
    </w:p>
    <w:p w:rsidR="00937F53" w:rsidRDefault="00757E6D">
      <w:pPr>
        <w:ind w:left="-5" w:right="36"/>
      </w:pPr>
      <w:r>
        <w:t xml:space="preserve">The United Nations “Rights Up Front” Plan of Action emphasises the imperative for the United Nations </w:t>
      </w:r>
      <w:proofErr w:type="gramStart"/>
      <w:r>
        <w:t>to</w:t>
      </w:r>
      <w:proofErr w:type="gramEnd"/>
      <w:r>
        <w:t xml:space="preserve"> protect people, wherever they may be, in accordance with their human </w:t>
      </w:r>
      <w:r>
        <w:t xml:space="preserve">rights and in a manner that prevents and responds to violations of international human rights and humanitarian law. This same imperative to protect people lies also at the heart of humanitarian action. </w:t>
      </w:r>
    </w:p>
    <w:p w:rsidR="00937F53" w:rsidRDefault="00757E6D">
      <w:pPr>
        <w:spacing w:after="20" w:line="259" w:lineRule="auto"/>
        <w:ind w:left="0" w:right="0" w:firstLine="0"/>
        <w:jc w:val="left"/>
      </w:pPr>
      <w:r>
        <w:t xml:space="preserve"> </w:t>
      </w:r>
    </w:p>
    <w:p w:rsidR="00937F53" w:rsidRDefault="00757E6D">
      <w:pPr>
        <w:ind w:left="-5" w:right="36"/>
      </w:pPr>
      <w:r>
        <w:t>Protection of all persons affected and at risk must</w:t>
      </w:r>
      <w:r>
        <w:t xml:space="preserve"> inform humanitarian decision-making and response, including engagement with States and non-State parties to conflict. It must be central to our preparedness efforts, as part of immediate and life-saving activities, and throughout the duration of humanitar</w:t>
      </w:r>
      <w:r>
        <w:t xml:space="preserve">ian response and beyond. </w:t>
      </w:r>
    </w:p>
    <w:p w:rsidR="00937F53" w:rsidRDefault="00757E6D">
      <w:pPr>
        <w:spacing w:after="20" w:line="259" w:lineRule="auto"/>
        <w:ind w:left="0" w:right="0" w:firstLine="0"/>
        <w:jc w:val="left"/>
      </w:pPr>
      <w:r>
        <w:t xml:space="preserve"> </w:t>
      </w:r>
    </w:p>
    <w:p w:rsidR="00937F53" w:rsidRDefault="00757E6D">
      <w:pPr>
        <w:ind w:left="-5" w:right="36"/>
      </w:pPr>
      <w:r>
        <w:t>In practical terms, this means identifying who is at risk, how and why at the very outset of a crisis and thereafter, taking into account the specific vulnerabilities that underlie these risks, including those experienced by men</w:t>
      </w:r>
      <w:r>
        <w:t xml:space="preserve">, women, girls and boys, and groups such as internally displaced persons, older persons, persons with disabilities, and persons belonging to sexual and other minorities. </w:t>
      </w:r>
    </w:p>
    <w:p w:rsidR="00937F53" w:rsidRDefault="00757E6D">
      <w:pPr>
        <w:spacing w:after="20" w:line="259" w:lineRule="auto"/>
        <w:ind w:left="0" w:right="0" w:firstLine="0"/>
        <w:jc w:val="left"/>
      </w:pPr>
      <w:r>
        <w:t xml:space="preserve"> </w:t>
      </w:r>
    </w:p>
    <w:p w:rsidR="00937F53" w:rsidRDefault="00757E6D">
      <w:pPr>
        <w:ind w:left="-5" w:right="36"/>
      </w:pPr>
      <w:r>
        <w:t xml:space="preserve">It means that HCs, HCTs and Clusters need to develop and implement a comprehensive </w:t>
      </w:r>
      <w:r>
        <w:t xml:space="preserve">protection strategy to address these risks and to prevent and stop the recurrence of violations of international human rights and humanitarian law – a strategy that clearly articulates and identifies the </w:t>
      </w:r>
    </w:p>
    <w:p w:rsidR="00937F53" w:rsidRDefault="00757E6D">
      <w:pPr>
        <w:spacing w:after="31" w:line="259" w:lineRule="auto"/>
        <w:ind w:left="-29" w:right="0" w:firstLine="0"/>
        <w:jc w:val="left"/>
      </w:pPr>
      <w:r>
        <w:rPr>
          <w:rFonts w:ascii="Calibri" w:eastAsia="Calibri" w:hAnsi="Calibri" w:cs="Calibri"/>
          <w:noProof/>
          <w:sz w:val="22"/>
        </w:rPr>
        <mc:AlternateContent>
          <mc:Choice Requires="wpg">
            <w:drawing>
              <wp:inline distT="0" distB="0" distL="0" distR="0">
                <wp:extent cx="6013704" cy="6096"/>
                <wp:effectExtent l="0" t="0" r="0" b="0"/>
                <wp:docPr id="1013" name="Group 1013"/>
                <wp:cNvGraphicFramePr/>
                <a:graphic xmlns:a="http://schemas.openxmlformats.org/drawingml/2006/main">
                  <a:graphicData uri="http://schemas.microsoft.com/office/word/2010/wordprocessingGroup">
                    <wpg:wgp>
                      <wpg:cNvGrpSpPr/>
                      <wpg:grpSpPr>
                        <a:xfrm>
                          <a:off x="0" y="0"/>
                          <a:ext cx="6013704" cy="6096"/>
                          <a:chOff x="0" y="0"/>
                          <a:chExt cx="6013704" cy="6096"/>
                        </a:xfrm>
                      </wpg:grpSpPr>
                      <wps:wsp>
                        <wps:cNvPr id="1351" name="Shape 1351"/>
                        <wps:cNvSpPr/>
                        <wps:spPr>
                          <a:xfrm>
                            <a:off x="0" y="0"/>
                            <a:ext cx="6013704" cy="9144"/>
                          </a:xfrm>
                          <a:custGeom>
                            <a:avLst/>
                            <a:gdLst/>
                            <a:ahLst/>
                            <a:cxnLst/>
                            <a:rect l="0" t="0" r="0" b="0"/>
                            <a:pathLst>
                              <a:path w="6013704" h="9144">
                                <a:moveTo>
                                  <a:pt x="0" y="0"/>
                                </a:moveTo>
                                <a:lnTo>
                                  <a:pt x="6013704" y="0"/>
                                </a:lnTo>
                                <a:lnTo>
                                  <a:pt x="6013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F614CB" id="Group 1013" o:spid="_x0000_s1026" style="width:473.5pt;height:.5pt;mso-position-horizontal-relative:char;mso-position-vertical-relative:line" coordsize="601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">
                <v:shape id="Shape 1351" o:spid="_x0000_s1027" style="position:absolute;width:60137;height:91;visibility:visible;mso-wrap-style:square;v-text-anchor:top" coordsize="60137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KmWMIA&#10;AADdAAAADwAAAGRycy9kb3ducmV2LnhtbERPTWvCQBC9F/wPywheim60VCS6igSV9thEPI/ZMYlm&#10;Z0N2jfHfdwsFb/N4n7Pa9KYWHbWusqxgOolAEOdWV1woOGb78QKE88gaa8uk4EkONuvB2wpjbR/8&#10;Q13qCxFC2MWooPS+iaV0eUkG3cQ2xIG72NagD7AtpG7xEcJNLWdRNJcGKw4NJTaUlJTf0rtRcHIL&#10;k53f02uS7Dt7zXa7w/fpqNRo2G+XIDz1/iX+d3/pMP/jcwp/34QT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0qZYwgAAAN0AAAAPAAAAAAAAAAAAAAAAAJgCAABkcnMvZG93&#10;bnJldi54bWxQSwUGAAAAAAQABAD1AAAAhwMAAAAA&#10;" path="m,l6013704,r,9144l,9144,,e" fillcolor="black" stroked="f" strokeweight="0">
                  <v:stroke miterlimit="83231f" joinstyle="miter"/>
                  <v:path arrowok="t" textboxrect="0,0,6013704,9144"/>
                </v:shape>
                <w10:anchorlock/>
              </v:group>
            </w:pict>
          </mc:Fallback>
        </mc:AlternateContent>
      </w:r>
    </w:p>
    <w:p w:rsidR="00937F53" w:rsidRDefault="00757E6D">
      <w:pPr>
        <w:tabs>
          <w:tab w:val="center" w:pos="8975"/>
        </w:tabs>
        <w:spacing w:after="0" w:line="259" w:lineRule="auto"/>
        <w:ind w:left="-15" w:right="0" w:firstLine="0"/>
        <w:jc w:val="left"/>
      </w:pPr>
      <w:r>
        <w:rPr>
          <w:sz w:val="20"/>
        </w:rPr>
        <w:t>Inter-Agency Standing Committee (IASC), www.human</w:t>
      </w:r>
      <w:r>
        <w:rPr>
          <w:sz w:val="20"/>
        </w:rPr>
        <w:t xml:space="preserve">itarianinfo.org/iasc </w:t>
      </w:r>
      <w:r>
        <w:rPr>
          <w:sz w:val="20"/>
        </w:rPr>
        <w:tab/>
        <w:t xml:space="preserve">1 </w:t>
      </w:r>
    </w:p>
    <w:p w:rsidR="00937F53" w:rsidRDefault="00757E6D">
      <w:pPr>
        <w:spacing w:after="0" w:line="259" w:lineRule="auto"/>
        <w:ind w:left="0" w:right="0" w:firstLine="0"/>
        <w:jc w:val="left"/>
      </w:pPr>
      <w:r>
        <w:rPr>
          <w:sz w:val="20"/>
        </w:rPr>
        <w:t xml:space="preserve"> </w:t>
      </w:r>
    </w:p>
    <w:p w:rsidR="00937F53" w:rsidRDefault="00757E6D">
      <w:pPr>
        <w:spacing w:after="0" w:line="259" w:lineRule="auto"/>
        <w:ind w:left="0" w:right="0" w:firstLine="0"/>
        <w:jc w:val="left"/>
      </w:pPr>
      <w:r>
        <w:rPr>
          <w:rFonts w:ascii="Cambria" w:eastAsia="Cambria" w:hAnsi="Cambria" w:cs="Cambria"/>
          <w:i/>
          <w:color w:val="1D487D"/>
          <w:sz w:val="18"/>
        </w:rPr>
        <w:t xml:space="preserve">The Centrality of Protection in Humanitarian Action, Endorsed by the IASC Principals, 17 December </w:t>
      </w:r>
      <w:r>
        <w:rPr>
          <w:rFonts w:ascii="Cambria" w:eastAsia="Cambria" w:hAnsi="Cambria" w:cs="Cambria"/>
          <w:i/>
          <w:color w:val="1D487D"/>
          <w:sz w:val="18"/>
        </w:rPr>
        <w:t>2013</w:t>
      </w:r>
    </w:p>
    <w:p w:rsidR="00937F53" w:rsidRDefault="00757E6D">
      <w:pPr>
        <w:spacing w:after="7" w:line="259" w:lineRule="auto"/>
        <w:ind w:left="-29" w:right="0" w:firstLine="0"/>
        <w:jc w:val="left"/>
      </w:pPr>
      <w:r>
        <w:rPr>
          <w:rFonts w:ascii="Calibri" w:eastAsia="Calibri" w:hAnsi="Calibri" w:cs="Calibri"/>
          <w:noProof/>
          <w:sz w:val="22"/>
        </w:rPr>
        <mc:AlternateContent>
          <mc:Choice Requires="wpg">
            <w:drawing>
              <wp:inline distT="0" distB="0" distL="0" distR="0">
                <wp:extent cx="6013704" cy="6096"/>
                <wp:effectExtent l="0" t="0" r="0" b="0"/>
                <wp:docPr id="958" name="Group 958"/>
                <wp:cNvGraphicFramePr/>
                <a:graphic xmlns:a="http://schemas.openxmlformats.org/drawingml/2006/main">
                  <a:graphicData uri="http://schemas.microsoft.com/office/word/2010/wordprocessingGroup">
                    <wpg:wgp>
                      <wpg:cNvGrpSpPr/>
                      <wpg:grpSpPr>
                        <a:xfrm>
                          <a:off x="0" y="0"/>
                          <a:ext cx="6013704" cy="6096"/>
                          <a:chOff x="0" y="0"/>
                          <a:chExt cx="6013704" cy="6096"/>
                        </a:xfrm>
                      </wpg:grpSpPr>
                      <wps:wsp>
                        <wps:cNvPr id="1352" name="Shape 1352"/>
                        <wps:cNvSpPr/>
                        <wps:spPr>
                          <a:xfrm>
                            <a:off x="0" y="0"/>
                            <a:ext cx="6013704" cy="9144"/>
                          </a:xfrm>
                          <a:custGeom>
                            <a:avLst/>
                            <a:gdLst/>
                            <a:ahLst/>
                            <a:cxnLst/>
                            <a:rect l="0" t="0" r="0" b="0"/>
                            <a:pathLst>
                              <a:path w="6013704" h="9144">
                                <a:moveTo>
                                  <a:pt x="0" y="0"/>
                                </a:moveTo>
                                <a:lnTo>
                                  <a:pt x="6013704" y="0"/>
                                </a:lnTo>
                                <a:lnTo>
                                  <a:pt x="6013704" y="9144"/>
                                </a:lnTo>
                                <a:lnTo>
                                  <a:pt x="0" y="9144"/>
                                </a:lnTo>
                                <a:lnTo>
                                  <a:pt x="0" y="0"/>
                                </a:lnTo>
                              </a:path>
                            </a:pathLst>
                          </a:custGeom>
                          <a:ln w="0" cap="flat">
                            <a:miter lim="127000"/>
                          </a:ln>
                        </wps:spPr>
                        <wps:style>
                          <a:lnRef idx="0">
                            <a:srgbClr val="000000">
                              <a:alpha val="0"/>
                            </a:srgbClr>
                          </a:lnRef>
                          <a:fillRef idx="1">
                            <a:srgbClr val="4D81BD"/>
                          </a:fillRef>
                          <a:effectRef idx="0">
                            <a:scrgbClr r="0" g="0" b="0"/>
                          </a:effectRef>
                          <a:fontRef idx="none"/>
                        </wps:style>
                        <wps:bodyPr/>
                      </wps:wsp>
                    </wpg:wgp>
                  </a:graphicData>
                </a:graphic>
              </wp:inline>
            </w:drawing>
          </mc:Choice>
          <mc:Fallback>
            <w:pict>
              <v:group w14:anchorId="7076F1BB" id="Group 958" o:spid="_x0000_s1026" style="width:473.5pt;height:.5pt;mso-position-horizontal-relative:char;mso-position-vertical-relative:line" coordsize="601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">
                <v:shape id="Shape 1352" o:spid="_x0000_s1027" style="position:absolute;width:60137;height:91;visibility:visible;mso-wrap-style:square;v-text-anchor:top" coordsize="60137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jDYsQA&#10;AADdAAAADwAAAGRycy9kb3ducmV2LnhtbERPPWvDMBDdC/0P4gpZQiMnJW1wrZhiCHQKJM7Q8ZAu&#10;srF1MpbiuP++KhS63eN9XlHOrhcTjaH1rGC9ykAQa29atgou9eF5ByJEZIO9Z1LwTQHK/eNDgbnx&#10;dz7RdI5WpBAOOSpoYhxyKYNuyGFY+YE4cVc/OowJjlaaEe8p3PVyk2Wv0mHLqaHBgaqGdHe+OQV0&#10;qU86zl/LqjOVtsfD8W25vSm1eJo/3kFEmuO/+M/9adL8l+0Gfr9JJ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Iw2LEAAAA3QAAAA8AAAAAAAAAAAAAAAAAmAIAAGRycy9k&#10;b3ducmV2LnhtbFBLBQYAAAAABAAEAPUAAACJAwAAAAA=&#10;" path="m,l6013704,r,9144l,9144,,e" fillcolor="#4d81bd" stroked="f" strokeweight="0">
                  <v:stroke miterlimit="83231f" joinstyle="miter"/>
                  <v:path arrowok="t" textboxrect="0,0,6013704,9144"/>
                </v:shape>
                <w10:anchorlock/>
              </v:group>
            </w:pict>
          </mc:Fallback>
        </mc:AlternateContent>
      </w:r>
    </w:p>
    <w:p w:rsidR="00937F53" w:rsidRDefault="00757E6D">
      <w:pPr>
        <w:spacing w:after="85" w:line="259" w:lineRule="auto"/>
        <w:ind w:left="0" w:right="0" w:firstLine="0"/>
        <w:jc w:val="left"/>
      </w:pPr>
      <w:r>
        <w:rPr>
          <w:sz w:val="20"/>
        </w:rPr>
        <w:t xml:space="preserve"> </w:t>
      </w:r>
    </w:p>
    <w:p w:rsidR="00937F53" w:rsidRDefault="00757E6D">
      <w:pPr>
        <w:ind w:left="-5" w:right="36"/>
      </w:pPr>
      <w:r>
        <w:lastRenderedPageBreak/>
        <w:t>complementary roles and responsibilities among humanitarian actors to contribute to protection outcomes; that identifies and makes use of all available tools to effectively protect those affected by humanitarian crises; that takes into account the role and</w:t>
      </w:r>
      <w:r>
        <w:t xml:space="preserve"> contribution of other relevant actors, such as peacekeeping and political missions and development actors, to achieve protection goals and develop durable solutions. These strategies must be regularly revised to reflect changing circumstances, priorities </w:t>
      </w:r>
      <w:r>
        <w:t xml:space="preserve">and needs. Resources commensurate to the realisation of these efforts must be mobilised. </w:t>
      </w:r>
    </w:p>
    <w:p w:rsidR="00937F53" w:rsidRDefault="00757E6D">
      <w:pPr>
        <w:spacing w:after="20" w:line="259" w:lineRule="auto"/>
        <w:ind w:left="0" w:right="0" w:firstLine="0"/>
        <w:jc w:val="left"/>
      </w:pPr>
      <w:r>
        <w:t xml:space="preserve"> </w:t>
      </w:r>
    </w:p>
    <w:p w:rsidR="00937F53" w:rsidRDefault="00757E6D">
      <w:pPr>
        <w:ind w:left="-5" w:right="36"/>
      </w:pPr>
      <w:r>
        <w:t>It also means that HCs, HCTs and Clusters need to strengthen the collection, management and analysis of information to inform and adjust early warning, preparedness</w:t>
      </w:r>
      <w:r>
        <w:t xml:space="preserve">, response, recovery and policy efforts, and support strategic and coordinated advocacy, dialogue and humanitarian negotiations on behalf of persons affected and at risk, and in a manner that addresses the risks they face in conflict, violence and natural </w:t>
      </w:r>
      <w:r>
        <w:t xml:space="preserve">disasters. In this regard, the complementary roles, mandates and means of action of all relevant actors need to be recognized and reinforced. </w:t>
      </w:r>
    </w:p>
    <w:p w:rsidR="00937F53" w:rsidRDefault="00757E6D">
      <w:pPr>
        <w:spacing w:after="20" w:line="259" w:lineRule="auto"/>
        <w:ind w:left="0" w:right="0" w:firstLine="0"/>
        <w:jc w:val="left"/>
      </w:pPr>
      <w:r>
        <w:t xml:space="preserve"> </w:t>
      </w:r>
    </w:p>
    <w:p w:rsidR="00937F53" w:rsidRDefault="00757E6D">
      <w:pPr>
        <w:ind w:left="-5" w:right="36"/>
      </w:pPr>
      <w:r>
        <w:t>In all undertakings, primary consideration will be given to our accountability to affected populations, to identify, understand and support their own protection measures. Different segments of affected populations need to be meaningfully engaged in all dec</w:t>
      </w:r>
      <w:r>
        <w:t xml:space="preserve">isions and actions that have a direct impact on their well-being. A commitment to support national and local civil society in their important role to enhance the protection of persons affected and at risk is central to this endeavour. </w:t>
      </w:r>
    </w:p>
    <w:p w:rsidR="00937F53" w:rsidRDefault="00757E6D">
      <w:pPr>
        <w:spacing w:after="20" w:line="259" w:lineRule="auto"/>
        <w:ind w:left="0" w:right="0" w:firstLine="0"/>
        <w:jc w:val="left"/>
      </w:pPr>
      <w:r>
        <w:t xml:space="preserve"> </w:t>
      </w:r>
    </w:p>
    <w:p w:rsidR="00937F53" w:rsidRDefault="00757E6D">
      <w:pPr>
        <w:ind w:left="-5" w:right="36"/>
      </w:pPr>
      <w:r>
        <w:t>At the field level</w:t>
      </w:r>
      <w:r>
        <w:t>, the responsibility for placing protection at the centre of international humanitarian action rests with Humanitarian Coordinators, Humanitarian Country Teams, and all Cluster Coordinators. Protection Clusters play a crucial role in supporting humanitaria</w:t>
      </w:r>
      <w:r>
        <w:t xml:space="preserve">n actors to develop protection strategies, including to mainstream protection throughout all sectors and to coordinate specialised protection services for affected populations. </w:t>
      </w:r>
    </w:p>
    <w:p w:rsidR="00937F53" w:rsidRDefault="00757E6D">
      <w:pPr>
        <w:spacing w:after="20" w:line="259" w:lineRule="auto"/>
        <w:ind w:left="0" w:right="0" w:firstLine="0"/>
        <w:jc w:val="left"/>
      </w:pPr>
      <w:r>
        <w:t xml:space="preserve"> </w:t>
      </w:r>
    </w:p>
    <w:p w:rsidR="00937F53" w:rsidRDefault="00757E6D">
      <w:pPr>
        <w:ind w:left="-5" w:right="36"/>
      </w:pPr>
      <w:r>
        <w:t>But the responsibility is not theirs alone. We, the IASC Principals, recogni</w:t>
      </w:r>
      <w:r>
        <w:t>ze our leadership in supporting their efforts in a consistent, principled and impartial manner, including through policy development, dialogue, advocacy, and engagement with States. We commit to provide the necessary support and to work with them and all I</w:t>
      </w:r>
      <w:r>
        <w:t>ASC members to ensure the centrality of protection in humanitarian action.</w:t>
      </w:r>
      <w:r>
        <w:rPr>
          <w:sz w:val="20"/>
        </w:rPr>
        <w:t xml:space="preserve"> </w:t>
      </w:r>
    </w:p>
    <w:p w:rsidR="00937F53" w:rsidRDefault="00757E6D">
      <w:pPr>
        <w:spacing w:after="4262" w:line="259" w:lineRule="auto"/>
        <w:ind w:left="0" w:right="0" w:firstLine="0"/>
        <w:jc w:val="left"/>
      </w:pPr>
      <w:r>
        <w:rPr>
          <w:sz w:val="20"/>
        </w:rPr>
        <w:t xml:space="preserve"> </w:t>
      </w:r>
    </w:p>
    <w:p w:rsidR="00937F53" w:rsidRDefault="00757E6D">
      <w:pPr>
        <w:spacing w:after="31" w:line="259" w:lineRule="auto"/>
        <w:ind w:left="-29" w:right="0" w:firstLine="0"/>
        <w:jc w:val="left"/>
      </w:pPr>
      <w:r>
        <w:rPr>
          <w:rFonts w:ascii="Calibri" w:eastAsia="Calibri" w:hAnsi="Calibri" w:cs="Calibri"/>
          <w:noProof/>
          <w:sz w:val="22"/>
        </w:rPr>
        <mc:AlternateContent>
          <mc:Choice Requires="wpg">
            <w:drawing>
              <wp:inline distT="0" distB="0" distL="0" distR="0">
                <wp:extent cx="6013704" cy="6096"/>
                <wp:effectExtent l="0" t="0" r="0" b="0"/>
                <wp:docPr id="959" name="Group 959"/>
                <wp:cNvGraphicFramePr/>
                <a:graphic xmlns:a="http://schemas.openxmlformats.org/drawingml/2006/main">
                  <a:graphicData uri="http://schemas.microsoft.com/office/word/2010/wordprocessingGroup">
                    <wpg:wgp>
                      <wpg:cNvGrpSpPr/>
                      <wpg:grpSpPr>
                        <a:xfrm>
                          <a:off x="0" y="0"/>
                          <a:ext cx="6013704" cy="6096"/>
                          <a:chOff x="0" y="0"/>
                          <a:chExt cx="6013704" cy="6096"/>
                        </a:xfrm>
                      </wpg:grpSpPr>
                      <wps:wsp>
                        <wps:cNvPr id="1353" name="Shape 1353"/>
                        <wps:cNvSpPr/>
                        <wps:spPr>
                          <a:xfrm>
                            <a:off x="0" y="0"/>
                            <a:ext cx="6013704" cy="9144"/>
                          </a:xfrm>
                          <a:custGeom>
                            <a:avLst/>
                            <a:gdLst/>
                            <a:ahLst/>
                            <a:cxnLst/>
                            <a:rect l="0" t="0" r="0" b="0"/>
                            <a:pathLst>
                              <a:path w="6013704" h="9144">
                                <a:moveTo>
                                  <a:pt x="0" y="0"/>
                                </a:moveTo>
                                <a:lnTo>
                                  <a:pt x="6013704" y="0"/>
                                </a:lnTo>
                                <a:lnTo>
                                  <a:pt x="6013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C550D0" id="Group 959" o:spid="_x0000_s1026" style="width:473.5pt;height:.5pt;mso-position-horizontal-relative:char;mso-position-vertical-relative:line" coordsize="601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">
                <v:shape id="Shape 1353" o:spid="_x0000_s1027" style="position:absolute;width:60137;height:91;visibility:visible;mso-wrap-style:square;v-text-anchor:top" coordsize="60137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ydtMMA&#10;AADdAAAADwAAAGRycy9kb3ducmV2LnhtbERPS2vCQBC+C/6HZYReRDetVCR1IyVoaY9NgudpdszD&#10;7GzIbmP677uFgrf5+J6zP0ymEyMNrrGs4HEdgSAurW64UlDkp9UOhPPIGjvLpOCHHByS+WyPsbY3&#10;/qQx85UIIexiVFB738dSurImg25te+LAXexg0Ac4VFIPeAvhppNPUbSVBhsODTX2lNZUXrNvo+Ds&#10;dib/WmZtmp5G2+bH49vHuVDqYTG9voDwNPm7+N/9rsP8zfMG/r4JJ8j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ydtMMAAADdAAAADwAAAAAAAAAAAAAAAACYAgAAZHJzL2Rv&#10;d25yZXYueG1sUEsFBgAAAAAEAAQA9QAAAIgDAAAAAA==&#10;" path="m,l6013704,r,9144l,9144,,e" fillcolor="black" stroked="f" strokeweight="0">
                  <v:stroke miterlimit="83231f" joinstyle="miter"/>
                  <v:path arrowok="t" textboxrect="0,0,6013704,9144"/>
                </v:shape>
                <w10:anchorlock/>
              </v:group>
            </w:pict>
          </mc:Fallback>
        </mc:AlternateContent>
      </w:r>
    </w:p>
    <w:p w:rsidR="00937F53" w:rsidRDefault="00757E6D">
      <w:pPr>
        <w:tabs>
          <w:tab w:val="center" w:pos="8975"/>
        </w:tabs>
        <w:spacing w:after="0" w:line="259" w:lineRule="auto"/>
        <w:ind w:left="-15" w:right="0" w:firstLine="0"/>
        <w:jc w:val="left"/>
      </w:pPr>
      <w:r>
        <w:rPr>
          <w:sz w:val="20"/>
        </w:rPr>
        <w:t xml:space="preserve">Inter-Agency Standing Committee (IASC), www.humanitarianinfo.org/iasc </w:t>
      </w:r>
      <w:r>
        <w:rPr>
          <w:sz w:val="20"/>
        </w:rPr>
        <w:tab/>
        <w:t xml:space="preserve">2 </w:t>
      </w:r>
    </w:p>
    <w:p w:rsidR="00937F53" w:rsidRDefault="00757E6D">
      <w:pPr>
        <w:spacing w:after="0" w:line="243" w:lineRule="auto"/>
        <w:ind w:left="0" w:right="0" w:firstLine="0"/>
        <w:jc w:val="left"/>
      </w:pPr>
      <w:r>
        <w:rPr>
          <w:sz w:val="20"/>
        </w:rPr>
        <w:t xml:space="preserve">  </w:t>
      </w:r>
    </w:p>
    <w:sectPr w:rsidR="00937F53">
      <w:pgSz w:w="11906" w:h="16837"/>
      <w:pgMar w:top="725" w:right="1175" w:bottom="704" w:left="126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F53"/>
    <w:rsid w:val="00757E6D"/>
    <w:rsid w:val="00937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E5268-118C-4CFF-AC72-092110B8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79" w:lineRule="auto"/>
      <w:ind w:left="10" w:right="46" w:hanging="10"/>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899</Words>
  <Characters>5128</Characters>
  <Application>Microsoft Office Word</Application>
  <DocSecurity>0</DocSecurity>
  <Lines>42</Lines>
  <Paragraphs>12</Paragraphs>
  <ScaleCrop>false</ScaleCrop>
  <Company>UNHCR</Company>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Centrality of Protection in Humanitarian Action Statement by IASC Principals 17Dec2013.docx</dc:title>
  <dc:subject/>
  <dc:creator>Manisha Thomas</dc:creator>
  <cp:keywords/>
  <cp:lastModifiedBy>Jose Alvin Gonzaga</cp:lastModifiedBy>
  <cp:revision>2</cp:revision>
  <dcterms:created xsi:type="dcterms:W3CDTF">2016-04-12T09:56:00Z</dcterms:created>
  <dcterms:modified xsi:type="dcterms:W3CDTF">2016-04-12T09:56:00Z</dcterms:modified>
</cp:coreProperties>
</file>